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C42" w:rsidRDefault="002F6C42" w:rsidP="00052337">
      <w:pPr>
        <w:spacing w:line="480" w:lineRule="auto"/>
        <w:jc w:val="center"/>
      </w:pPr>
    </w:p>
    <w:p w:rsidR="007E1226" w:rsidRDefault="007E1226" w:rsidP="00052337">
      <w:pPr>
        <w:spacing w:line="480" w:lineRule="auto"/>
        <w:jc w:val="center"/>
      </w:pPr>
    </w:p>
    <w:p w:rsidR="007E1226" w:rsidRDefault="007E1226" w:rsidP="00052337">
      <w:pPr>
        <w:spacing w:line="480" w:lineRule="auto"/>
        <w:jc w:val="center"/>
      </w:pPr>
    </w:p>
    <w:p w:rsidR="007E1226" w:rsidRDefault="007E1226" w:rsidP="00052337">
      <w:pPr>
        <w:spacing w:line="480" w:lineRule="auto"/>
        <w:jc w:val="center"/>
      </w:pPr>
    </w:p>
    <w:p w:rsidR="007E1226" w:rsidRDefault="004C2C3A" w:rsidP="00052337">
      <w:pPr>
        <w:spacing w:line="480" w:lineRule="auto"/>
        <w:jc w:val="center"/>
      </w:pPr>
      <w:r>
        <w:t>Causes and Effects of Poverty</w:t>
      </w:r>
    </w:p>
    <w:p w:rsidR="007E1226" w:rsidRDefault="007E1226" w:rsidP="00052337">
      <w:pPr>
        <w:spacing w:line="480" w:lineRule="auto"/>
        <w:jc w:val="center"/>
      </w:pPr>
      <w:r>
        <w:t>Name</w:t>
      </w:r>
    </w:p>
    <w:p w:rsidR="007E1226" w:rsidRDefault="007E1226" w:rsidP="00052337">
      <w:pPr>
        <w:spacing w:line="480" w:lineRule="auto"/>
        <w:jc w:val="center"/>
      </w:pPr>
      <w:r>
        <w:t>Institution</w:t>
      </w:r>
      <w:r w:rsidR="00120C29">
        <w:t xml:space="preserve"> of Affiliation</w:t>
      </w:r>
    </w:p>
    <w:p w:rsidR="007E1226" w:rsidRDefault="007E1226" w:rsidP="00052337">
      <w:pPr>
        <w:spacing w:line="480" w:lineRule="auto"/>
        <w:jc w:val="center"/>
      </w:pPr>
    </w:p>
    <w:p w:rsidR="007E1226" w:rsidRDefault="007E1226" w:rsidP="00052337">
      <w:pPr>
        <w:spacing w:line="480" w:lineRule="auto"/>
      </w:pPr>
      <w:r>
        <w:br w:type="page"/>
      </w:r>
    </w:p>
    <w:p w:rsidR="00120C29" w:rsidRPr="00120C29" w:rsidRDefault="00120C29" w:rsidP="00120C29">
      <w:pPr>
        <w:pStyle w:val="NormalWeb"/>
        <w:spacing w:before="0" w:beforeAutospacing="0" w:after="160" w:afterAutospacing="0" w:line="480" w:lineRule="auto"/>
        <w:jc w:val="center"/>
        <w:rPr>
          <w:b/>
        </w:rPr>
      </w:pPr>
      <w:r w:rsidRPr="00120C29">
        <w:rPr>
          <w:b/>
        </w:rPr>
        <w:lastRenderedPageBreak/>
        <w:t>Causes and Effects of Poverty</w:t>
      </w:r>
    </w:p>
    <w:p w:rsidR="001D27BB" w:rsidRDefault="001D27BB" w:rsidP="00120C29">
      <w:pPr>
        <w:pStyle w:val="NormalWeb"/>
        <w:spacing w:before="0" w:beforeAutospacing="0" w:after="160" w:afterAutospacing="0" w:line="480" w:lineRule="auto"/>
        <w:ind w:firstLine="720"/>
      </w:pPr>
      <w:r>
        <w:t>Poverty is a state where people or communities lack adequate financial resources to cater to their basic needs. People live in poverty when their income is below a certain threshold designated as the minimum living</w:t>
      </w:r>
      <w:r w:rsidR="00665F39">
        <w:t xml:space="preserve"> standards</w:t>
      </w:r>
      <w:r>
        <w:t>. While poverty may be relative to different peoples, countries decide on the minimum living by stating the poverty line. In the United States, the poverty line is $12,760 annual income for those below 65 years of age and $26,200 for a family group of four inclusive of two children. People earning income below th</w:t>
      </w:r>
      <w:r w:rsidR="00E96D37">
        <w:t xml:space="preserve">is are said to live in poverty. </w:t>
      </w:r>
      <w:r>
        <w:t>Different countries have different poverty lines by taking into account the living standards of their country. Poverty has adverse effects on individuals and the community. While the effects of poverty are visible to all, the causes of poverty require one to look objectively to find them. A deeper analysis may show a relationship between the causes of poverty and its effects</w:t>
      </w:r>
      <w:r w:rsidR="00174785">
        <w:t>. T</w:t>
      </w:r>
      <w:r>
        <w:t>he causation effect is intricate</w:t>
      </w:r>
      <w:r w:rsidR="00174785">
        <w:t>,</w:t>
      </w:r>
      <w:r>
        <w:t xml:space="preserve"> with some causes appea</w:t>
      </w:r>
      <w:r w:rsidR="00665F39">
        <w:t>ring as the effects</w:t>
      </w:r>
      <w:r>
        <w:t>. Some of the variables which demonstrate causation effects are illiteracy and birth rates.</w:t>
      </w:r>
    </w:p>
    <w:p w:rsidR="001D27BB" w:rsidRDefault="001D27BB" w:rsidP="00052337">
      <w:pPr>
        <w:pStyle w:val="NormalWeb"/>
        <w:spacing w:before="0" w:beforeAutospacing="0" w:after="160" w:afterAutospacing="0" w:line="480" w:lineRule="auto"/>
      </w:pPr>
      <w:r>
        <w:t>            Literacy levels can be seen both as a cause of poverty and an effect of poverty. As a cause, it makes one unable to acquire skills required in the job market</w:t>
      </w:r>
      <w:r w:rsidR="00174785">
        <w:t>,</w:t>
      </w:r>
      <w:r>
        <w:t xml:space="preserve"> limiting opportunities for one to get a rewarding job. The available jobs for illiterate people are less paying</w:t>
      </w:r>
      <w:r w:rsidR="00174785">
        <w:t>,</w:t>
      </w:r>
      <w:r>
        <w:t xml:space="preserve"> contributing to poverty. As an effect, one must consider the reasons why the person is illiterate. If the factors </w:t>
      </w:r>
      <w:r w:rsidR="00174785">
        <w:t>that contributed include lack of resources,</w:t>
      </w:r>
      <w:r>
        <w:t xml:space="preserve"> it can be said that illiteracy is an effect of poverty. While many countries have free education programs</w:t>
      </w:r>
      <w:r w:rsidR="00174785">
        <w:t>,</w:t>
      </w:r>
      <w:r>
        <w:t xml:space="preserve"> especially for the primary level, a child may be unable to attend school if the family is poor to where getting a meal is problematic</w:t>
      </w:r>
      <w:r w:rsidR="006A58CA">
        <w:t xml:space="preserve"> (</w:t>
      </w:r>
      <w:r w:rsidR="006A58CA">
        <w:t>Kenworthy &amp; Marx, 2018).</w:t>
      </w:r>
      <w:r>
        <w:t xml:space="preserve"> In some developing countries, there are cases where children opt out of school to participate in employment to help supplement the</w:t>
      </w:r>
      <w:r w:rsidR="00174785">
        <w:t>ir parents’ income,</w:t>
      </w:r>
      <w:r>
        <w:t xml:space="preserve"> who </w:t>
      </w:r>
      <w:r w:rsidR="00174785">
        <w:t>cannot</w:t>
      </w:r>
      <w:r>
        <w:t xml:space="preserve"> sustain the basic needs of the family.</w:t>
      </w:r>
    </w:p>
    <w:p w:rsidR="001D27BB" w:rsidRDefault="001D27BB" w:rsidP="00052337">
      <w:pPr>
        <w:pStyle w:val="NormalWeb"/>
        <w:spacing w:before="0" w:beforeAutospacing="0" w:after="160" w:afterAutospacing="0" w:line="480" w:lineRule="auto"/>
      </w:pPr>
      <w:r>
        <w:lastRenderedPageBreak/>
        <w:t xml:space="preserve">            Another causation factor is birthrate. Generally, societies </w:t>
      </w:r>
      <w:r w:rsidR="00174785">
        <w:t>with low birth rates are well off compared to those with</w:t>
      </w:r>
      <w:r>
        <w:t xml:space="preserve"> high birth rates. One of the ways </w:t>
      </w:r>
      <w:r w:rsidR="00174785">
        <w:t>that birthrate causes poverty is by having a high number of children than one can</w:t>
      </w:r>
      <w:r>
        <w:t xml:space="preserve"> cater to their needs. In this regard, a high birthrate is the cause of poverty. Parents who have few children </w:t>
      </w:r>
      <w:r w:rsidR="00174785">
        <w:t>can</w:t>
      </w:r>
      <w:r>
        <w:t xml:space="preserve"> cater to their needs and even provide them with quality education and life</w:t>
      </w:r>
      <w:r w:rsidR="006A58CA">
        <w:t xml:space="preserve"> (</w:t>
      </w:r>
      <w:r w:rsidR="006A58CA" w:rsidRPr="00DE7DC4">
        <w:t>Øyen</w:t>
      </w:r>
      <w:r w:rsidR="006A58CA">
        <w:t>, 2004)</w:t>
      </w:r>
      <w:r>
        <w:t xml:space="preserve">. A way in which birthrate is an effect of poverty is where poverty leads to a lack of access to </w:t>
      </w:r>
      <w:r w:rsidR="00174785">
        <w:t>critical</w:t>
      </w:r>
      <w:r>
        <w:t xml:space="preserve"> information such as </w:t>
      </w:r>
      <w:r w:rsidR="00174785">
        <w:t>family planning methods</w:t>
      </w:r>
      <w:r>
        <w:t>. There are still communities in the world that have no information on the various birth control methods and controlling births.</w:t>
      </w:r>
    </w:p>
    <w:p w:rsidR="001D27BB" w:rsidRDefault="001D27BB" w:rsidP="00052337">
      <w:pPr>
        <w:pStyle w:val="NormalWeb"/>
        <w:spacing w:before="0" w:beforeAutospacing="0" w:after="160" w:afterAutospacing="0" w:line="480" w:lineRule="auto"/>
      </w:pPr>
      <w:r>
        <w:t>            These problems exist at limited levels in the developed countries like the United States. In such countries, there is a comprehensive policy that encourages the attainment of education. While there are a few cases of illiteracy, the government cannot be blamed because it has set programs that make it easier for those who want to access education. Using the example of the United States, there are food programs that target those who earn little income run by both the federal and states governments</w:t>
      </w:r>
      <w:r w:rsidR="00174785">
        <w:t>;</w:t>
      </w:r>
      <w:r>
        <w:t xml:space="preserve"> thus</w:t>
      </w:r>
      <w:r w:rsidR="00174785">
        <w:t>,</w:t>
      </w:r>
      <w:r>
        <w:t xml:space="preserve"> the effects of poverty are minimized. Access to healthcare has also been widened by government policies such as the Affordable Care Act (ACA)</w:t>
      </w:r>
      <w:r w:rsidR="00174785">
        <w:t>;</w:t>
      </w:r>
      <w:r>
        <w:t xml:space="preserve"> thus</w:t>
      </w:r>
      <w:r w:rsidR="00174785">
        <w:t>, people can</w:t>
      </w:r>
      <w:r>
        <w:t xml:space="preserve"> get advice on the various birth control methods</w:t>
      </w:r>
      <w:r w:rsidR="00EC7DA8">
        <w:t xml:space="preserve"> (</w:t>
      </w:r>
      <w:r w:rsidR="00244212">
        <w:t>Callan and</w:t>
      </w:r>
      <w:r w:rsidR="00E11C72">
        <w:t xml:space="preserve"> </w:t>
      </w:r>
      <w:bookmarkStart w:id="0" w:name="_GoBack"/>
      <w:bookmarkEnd w:id="0"/>
      <w:r w:rsidR="00EC7DA8" w:rsidRPr="001D27BB">
        <w:t>Nolan</w:t>
      </w:r>
      <w:r w:rsidR="00EC7DA8">
        <w:t>, 1991)</w:t>
      </w:r>
      <w:r>
        <w:t xml:space="preserve">. Countries that have not solved the above problems continue to experience </w:t>
      </w:r>
      <w:r w:rsidR="00174785">
        <w:t>poverty,</w:t>
      </w:r>
      <w:r>
        <w:t xml:space="preserve"> which appear</w:t>
      </w:r>
      <w:r w:rsidR="00174785">
        <w:t>s</w:t>
      </w:r>
      <w:r>
        <w:t xml:space="preserve"> to be cyclic and thus entrenching the problems further.  </w:t>
      </w:r>
    </w:p>
    <w:p w:rsidR="001D27BB" w:rsidRDefault="001D27BB" w:rsidP="00052337">
      <w:pPr>
        <w:pStyle w:val="NormalWeb"/>
        <w:spacing w:before="0" w:beforeAutospacing="0" w:after="160" w:afterAutospacing="0" w:line="480" w:lineRule="auto"/>
      </w:pPr>
      <w:r>
        <w:t>            Poverty also presents some social and political consequences. From the social front, poverty causes hunger, inadequate medical care, and even poor hygiene (Mood &amp; Jonsson, 2016). It should also be noted that poverty decreases life expectancy</w:t>
      </w:r>
      <w:r w:rsidR="00174785">
        <w:t>,</w:t>
      </w:r>
      <w:r>
        <w:t xml:space="preserve"> thereby causing people to die early. This is because poor people are more likely to have many health problems while their access to quality health care is limited. There is also a correlation between poverty and street crime. </w:t>
      </w:r>
      <w:r w:rsidR="00DF36FB">
        <w:t>Neighborhoods</w:t>
      </w:r>
      <w:r>
        <w:t xml:space="preserve"> that have many poor people have a higher rate of crimes than those that are relatively wealthy. Political consequences of poverty include interference in country sovereignty. This can be achieved through donor funds which are accompanied by certain conditions which make it easier for donors to impose policies of their choice. </w:t>
      </w:r>
      <w:r w:rsidR="00174785">
        <w:t>In many instances, countries dependent on foreign aid have little choice but</w:t>
      </w:r>
      <w:r>
        <w:t xml:space="preserve"> may comply with </w:t>
      </w:r>
      <w:r w:rsidR="00174785">
        <w:t>donors’ wishe</w:t>
      </w:r>
      <w:r>
        <w:t>s.</w:t>
      </w:r>
    </w:p>
    <w:p w:rsidR="001D27BB" w:rsidRDefault="00B53B19" w:rsidP="008C4625">
      <w:pPr>
        <w:pStyle w:val="NormalWeb"/>
        <w:spacing w:before="0" w:beforeAutospacing="0" w:after="160" w:afterAutospacing="0" w:line="480" w:lineRule="auto"/>
        <w:ind w:firstLine="720"/>
      </w:pPr>
      <w:r>
        <w:t xml:space="preserve">A closer look at poverty and its context often highlights its causes and effects, which often overlap.  Its </w:t>
      </w:r>
      <w:r w:rsidR="001D27BB">
        <w:t xml:space="preserve">negative implications are visible. Poverty </w:t>
      </w:r>
      <w:r w:rsidR="00174785">
        <w:t>impacts</w:t>
      </w:r>
      <w:r w:rsidR="001D27BB">
        <w:t xml:space="preserve"> </w:t>
      </w:r>
      <w:r w:rsidR="00174785">
        <w:t>an individual’s life,</w:t>
      </w:r>
      <w:r>
        <w:t xml:space="preserve"> including their life expectancy</w:t>
      </w:r>
      <w:r w:rsidR="001D27BB">
        <w:t>.</w:t>
      </w:r>
      <w:r w:rsidR="00553FA5">
        <w:t xml:space="preserve"> The social and health problems associated with poverty cannot be ignored.</w:t>
      </w:r>
      <w:r w:rsidR="001D27BB">
        <w:t xml:space="preserve"> Efforts should be pu</w:t>
      </w:r>
      <w:r w:rsidR="00553FA5">
        <w:t>t in place to eradicate poverty and this include advocating for education by facilitating its affordability and accessibility.</w:t>
      </w:r>
    </w:p>
    <w:p w:rsidR="0067154F" w:rsidRDefault="0067154F" w:rsidP="00052337">
      <w:pPr>
        <w:pStyle w:val="NormalWeb"/>
        <w:spacing w:before="0" w:beforeAutospacing="0" w:after="160" w:afterAutospacing="0" w:line="480" w:lineRule="auto"/>
      </w:pPr>
      <w:r>
        <w:br w:type="page"/>
      </w:r>
    </w:p>
    <w:p w:rsidR="0067154F" w:rsidRDefault="0067154F" w:rsidP="00052337">
      <w:pPr>
        <w:pStyle w:val="NormalWeb"/>
        <w:spacing w:before="0" w:beforeAutospacing="0" w:after="160" w:afterAutospacing="0" w:line="480" w:lineRule="auto"/>
        <w:jc w:val="center"/>
      </w:pPr>
      <w:r>
        <w:t>References</w:t>
      </w:r>
    </w:p>
    <w:p w:rsidR="001D27BB" w:rsidRPr="001D27BB" w:rsidRDefault="001D27BB" w:rsidP="00052337">
      <w:pPr>
        <w:spacing w:after="0" w:line="480" w:lineRule="auto"/>
        <w:ind w:left="720" w:hanging="720"/>
        <w:rPr>
          <w:rFonts w:eastAsia="Times New Roman" w:cs="Times New Roman"/>
          <w:szCs w:val="24"/>
        </w:rPr>
      </w:pPr>
      <w:r w:rsidRPr="001D27BB">
        <w:rPr>
          <w:rFonts w:eastAsia="Times New Roman" w:cs="Times New Roman"/>
          <w:szCs w:val="24"/>
        </w:rPr>
        <w:t xml:space="preserve">Callan, T., &amp; Nolan, B. (1991). Concepts of poverty and the poverty line. </w:t>
      </w:r>
      <w:r w:rsidRPr="001D27BB">
        <w:rPr>
          <w:rFonts w:eastAsia="Times New Roman" w:cs="Times New Roman"/>
          <w:i/>
          <w:iCs/>
          <w:szCs w:val="24"/>
        </w:rPr>
        <w:t>Journal of Economic Surveys</w:t>
      </w:r>
      <w:r w:rsidRPr="001D27BB">
        <w:rPr>
          <w:rFonts w:eastAsia="Times New Roman" w:cs="Times New Roman"/>
          <w:szCs w:val="24"/>
        </w:rPr>
        <w:t xml:space="preserve">, </w:t>
      </w:r>
      <w:r w:rsidRPr="001D27BB">
        <w:rPr>
          <w:rFonts w:eastAsia="Times New Roman" w:cs="Times New Roman"/>
          <w:i/>
          <w:iCs/>
          <w:szCs w:val="24"/>
        </w:rPr>
        <w:t>5</w:t>
      </w:r>
      <w:r w:rsidRPr="001D27BB">
        <w:rPr>
          <w:rFonts w:eastAsia="Times New Roman" w:cs="Times New Roman"/>
          <w:szCs w:val="24"/>
        </w:rPr>
        <w:t>(3), 243-261.</w:t>
      </w:r>
    </w:p>
    <w:p w:rsidR="001D27BB" w:rsidRDefault="001D27BB" w:rsidP="00052337">
      <w:pPr>
        <w:spacing w:after="0" w:line="480" w:lineRule="auto"/>
        <w:ind w:left="720" w:hanging="720"/>
        <w:rPr>
          <w:rFonts w:eastAsia="Times New Roman" w:cs="Times New Roman"/>
          <w:szCs w:val="24"/>
        </w:rPr>
      </w:pPr>
      <w:r w:rsidRPr="001D27BB">
        <w:rPr>
          <w:rFonts w:eastAsia="Times New Roman" w:cs="Times New Roman"/>
          <w:szCs w:val="24"/>
        </w:rPr>
        <w:t xml:space="preserve">Kenworthy, L., &amp; Marx, I. (2018). In-work poverty in the United States. In </w:t>
      </w:r>
      <w:r w:rsidRPr="001D27BB">
        <w:rPr>
          <w:rFonts w:eastAsia="Times New Roman" w:cs="Times New Roman"/>
          <w:i/>
          <w:iCs/>
          <w:szCs w:val="24"/>
        </w:rPr>
        <w:t>Handbook on In-Work Poverty</w:t>
      </w:r>
      <w:r w:rsidRPr="001D27BB">
        <w:rPr>
          <w:rFonts w:eastAsia="Times New Roman" w:cs="Times New Roman"/>
          <w:szCs w:val="24"/>
        </w:rPr>
        <w:t>. Edward Elgar Publishing.</w:t>
      </w:r>
    </w:p>
    <w:p w:rsidR="00DE7DC4" w:rsidRDefault="00DE7DC4" w:rsidP="00052337">
      <w:pPr>
        <w:spacing w:after="0" w:line="480" w:lineRule="auto"/>
        <w:ind w:left="720" w:hanging="720"/>
        <w:rPr>
          <w:rFonts w:eastAsia="Times New Roman" w:cs="Times New Roman"/>
          <w:szCs w:val="24"/>
        </w:rPr>
      </w:pPr>
      <w:r w:rsidRPr="00DE7DC4">
        <w:rPr>
          <w:rFonts w:eastAsia="Times New Roman" w:cs="Times New Roman"/>
          <w:szCs w:val="24"/>
        </w:rPr>
        <w:t xml:space="preserve">Mood, C., &amp; Jonsson, J. O. (2016). The social consequences of poverty: an empirical test on longitudinal data. </w:t>
      </w:r>
      <w:r w:rsidRPr="00DE7DC4">
        <w:rPr>
          <w:rFonts w:eastAsia="Times New Roman" w:cs="Times New Roman"/>
          <w:i/>
          <w:iCs/>
          <w:szCs w:val="24"/>
        </w:rPr>
        <w:t>Social indicators research</w:t>
      </w:r>
      <w:r w:rsidRPr="00DE7DC4">
        <w:rPr>
          <w:rFonts w:eastAsia="Times New Roman" w:cs="Times New Roman"/>
          <w:szCs w:val="24"/>
        </w:rPr>
        <w:t xml:space="preserve">, </w:t>
      </w:r>
      <w:r w:rsidRPr="00DE7DC4">
        <w:rPr>
          <w:rFonts w:eastAsia="Times New Roman" w:cs="Times New Roman"/>
          <w:i/>
          <w:iCs/>
          <w:szCs w:val="24"/>
        </w:rPr>
        <w:t>127</w:t>
      </w:r>
      <w:r w:rsidRPr="00DE7DC4">
        <w:rPr>
          <w:rFonts w:eastAsia="Times New Roman" w:cs="Times New Roman"/>
          <w:szCs w:val="24"/>
        </w:rPr>
        <w:t>(2), 633-652.</w:t>
      </w:r>
    </w:p>
    <w:p w:rsidR="00DE7DC4" w:rsidRPr="00DE7DC4" w:rsidRDefault="00DE7DC4" w:rsidP="00052337">
      <w:pPr>
        <w:spacing w:after="0" w:line="480" w:lineRule="auto"/>
        <w:ind w:left="720" w:hanging="720"/>
        <w:rPr>
          <w:rFonts w:eastAsia="Times New Roman" w:cs="Times New Roman"/>
          <w:szCs w:val="24"/>
        </w:rPr>
      </w:pPr>
      <w:r w:rsidRPr="00DE7DC4">
        <w:rPr>
          <w:rFonts w:eastAsia="Times New Roman" w:cs="Times New Roman"/>
          <w:szCs w:val="24"/>
        </w:rPr>
        <w:t xml:space="preserve">Øyen, E. (2004). Poverty production: a different approach to poverty understanding. In </w:t>
      </w:r>
      <w:r w:rsidRPr="00DE7DC4">
        <w:rPr>
          <w:rFonts w:eastAsia="Times New Roman" w:cs="Times New Roman"/>
          <w:i/>
          <w:iCs/>
          <w:szCs w:val="24"/>
        </w:rPr>
        <w:t>Advances in Sociological Knowledge</w:t>
      </w:r>
      <w:r w:rsidRPr="00DE7DC4">
        <w:rPr>
          <w:rFonts w:eastAsia="Times New Roman" w:cs="Times New Roman"/>
          <w:szCs w:val="24"/>
        </w:rPr>
        <w:t xml:space="preserve"> (pp. 299-315). VS Verlag für Sozialwissenschaften, Wiesbaden.</w:t>
      </w:r>
    </w:p>
    <w:p w:rsidR="0067154F" w:rsidRDefault="0067154F" w:rsidP="00052337">
      <w:pPr>
        <w:pStyle w:val="NormalWeb"/>
        <w:spacing w:before="0" w:beforeAutospacing="0" w:after="160" w:afterAutospacing="0" w:line="480" w:lineRule="auto"/>
      </w:pPr>
    </w:p>
    <w:sectPr w:rsidR="0067154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C29" w:rsidRDefault="00120C29" w:rsidP="00120C29">
      <w:pPr>
        <w:spacing w:after="0" w:line="240" w:lineRule="auto"/>
      </w:pPr>
      <w:r>
        <w:separator/>
      </w:r>
    </w:p>
  </w:endnote>
  <w:endnote w:type="continuationSeparator" w:id="0">
    <w:p w:rsidR="00120C29" w:rsidRDefault="00120C29" w:rsidP="00120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C29" w:rsidRDefault="00120C29" w:rsidP="00120C29">
      <w:pPr>
        <w:spacing w:after="0" w:line="240" w:lineRule="auto"/>
      </w:pPr>
      <w:r>
        <w:separator/>
      </w:r>
    </w:p>
  </w:footnote>
  <w:footnote w:type="continuationSeparator" w:id="0">
    <w:p w:rsidR="00120C29" w:rsidRDefault="00120C29" w:rsidP="00120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51499"/>
      <w:docPartObj>
        <w:docPartGallery w:val="Page Numbers (Top of Page)"/>
        <w:docPartUnique/>
      </w:docPartObj>
    </w:sdtPr>
    <w:sdtEndPr>
      <w:rPr>
        <w:noProof/>
      </w:rPr>
    </w:sdtEndPr>
    <w:sdtContent>
      <w:p w:rsidR="00120C29" w:rsidRDefault="00120C29">
        <w:pPr>
          <w:pStyle w:val="Header"/>
          <w:jc w:val="right"/>
        </w:pPr>
        <w:r>
          <w:fldChar w:fldCharType="begin"/>
        </w:r>
        <w:r>
          <w:instrText xml:space="preserve"> PAGE   \* MERGEFORMAT </w:instrText>
        </w:r>
        <w:r>
          <w:fldChar w:fldCharType="separate"/>
        </w:r>
        <w:r w:rsidR="00E11C72">
          <w:rPr>
            <w:noProof/>
          </w:rPr>
          <w:t>4</w:t>
        </w:r>
        <w:r>
          <w:rPr>
            <w:noProof/>
          </w:rPr>
          <w:fldChar w:fldCharType="end"/>
        </w:r>
      </w:p>
    </w:sdtContent>
  </w:sdt>
  <w:p w:rsidR="00120C29" w:rsidRDefault="00120C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xNDUyNDQwNTA3MrFU0lEKTi0uzszPAykwrAUAdzsndSwAAAA="/>
  </w:docVars>
  <w:rsids>
    <w:rsidRoot w:val="007E1226"/>
    <w:rsid w:val="00052337"/>
    <w:rsid w:val="000A5D96"/>
    <w:rsid w:val="000E3E58"/>
    <w:rsid w:val="00120C29"/>
    <w:rsid w:val="00174785"/>
    <w:rsid w:val="00195FCA"/>
    <w:rsid w:val="001D27BB"/>
    <w:rsid w:val="00244212"/>
    <w:rsid w:val="00257B76"/>
    <w:rsid w:val="002F6C42"/>
    <w:rsid w:val="00314D58"/>
    <w:rsid w:val="00354201"/>
    <w:rsid w:val="00371187"/>
    <w:rsid w:val="00456BAD"/>
    <w:rsid w:val="004C2C3A"/>
    <w:rsid w:val="00531E09"/>
    <w:rsid w:val="00553FA5"/>
    <w:rsid w:val="00665F39"/>
    <w:rsid w:val="0067154F"/>
    <w:rsid w:val="006A58CA"/>
    <w:rsid w:val="007E1226"/>
    <w:rsid w:val="00830335"/>
    <w:rsid w:val="00836E35"/>
    <w:rsid w:val="00850637"/>
    <w:rsid w:val="008A209C"/>
    <w:rsid w:val="008C4625"/>
    <w:rsid w:val="00951550"/>
    <w:rsid w:val="009D6189"/>
    <w:rsid w:val="00A02D14"/>
    <w:rsid w:val="00A61D8D"/>
    <w:rsid w:val="00AE7119"/>
    <w:rsid w:val="00B4131B"/>
    <w:rsid w:val="00B53B19"/>
    <w:rsid w:val="00B9096E"/>
    <w:rsid w:val="00C15177"/>
    <w:rsid w:val="00D36F36"/>
    <w:rsid w:val="00DE7DC4"/>
    <w:rsid w:val="00DF36FB"/>
    <w:rsid w:val="00E11C72"/>
    <w:rsid w:val="00E96D37"/>
    <w:rsid w:val="00EC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8DFBD"/>
  <w15:chartTrackingRefBased/>
  <w15:docId w15:val="{3A1A7356-D864-4594-8C4B-0C938CC6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3E58"/>
    <w:rPr>
      <w:color w:val="0563C1" w:themeColor="hyperlink"/>
      <w:u w:val="single"/>
    </w:rPr>
  </w:style>
  <w:style w:type="paragraph" w:styleId="NormalWeb">
    <w:name w:val="Normal (Web)"/>
    <w:basedOn w:val="Normal"/>
    <w:uiPriority w:val="99"/>
    <w:unhideWhenUsed/>
    <w:rsid w:val="00951550"/>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120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C29"/>
  </w:style>
  <w:style w:type="paragraph" w:styleId="Footer">
    <w:name w:val="footer"/>
    <w:basedOn w:val="Normal"/>
    <w:link w:val="FooterChar"/>
    <w:uiPriority w:val="99"/>
    <w:unhideWhenUsed/>
    <w:rsid w:val="00120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91474">
      <w:bodyDiv w:val="1"/>
      <w:marLeft w:val="0"/>
      <w:marRight w:val="0"/>
      <w:marTop w:val="0"/>
      <w:marBottom w:val="0"/>
      <w:divBdr>
        <w:top w:val="none" w:sz="0" w:space="0" w:color="auto"/>
        <w:left w:val="none" w:sz="0" w:space="0" w:color="auto"/>
        <w:bottom w:val="none" w:sz="0" w:space="0" w:color="auto"/>
        <w:right w:val="none" w:sz="0" w:space="0" w:color="auto"/>
      </w:divBdr>
      <w:divsChild>
        <w:div w:id="277295942">
          <w:marLeft w:val="0"/>
          <w:marRight w:val="0"/>
          <w:marTop w:val="0"/>
          <w:marBottom w:val="0"/>
          <w:divBdr>
            <w:top w:val="none" w:sz="0" w:space="0" w:color="auto"/>
            <w:left w:val="none" w:sz="0" w:space="0" w:color="auto"/>
            <w:bottom w:val="none" w:sz="0" w:space="0" w:color="auto"/>
            <w:right w:val="none" w:sz="0" w:space="0" w:color="auto"/>
          </w:divBdr>
        </w:div>
      </w:divsChild>
    </w:div>
    <w:div w:id="522939534">
      <w:bodyDiv w:val="1"/>
      <w:marLeft w:val="0"/>
      <w:marRight w:val="0"/>
      <w:marTop w:val="0"/>
      <w:marBottom w:val="0"/>
      <w:divBdr>
        <w:top w:val="none" w:sz="0" w:space="0" w:color="auto"/>
        <w:left w:val="none" w:sz="0" w:space="0" w:color="auto"/>
        <w:bottom w:val="none" w:sz="0" w:space="0" w:color="auto"/>
        <w:right w:val="none" w:sz="0" w:space="0" w:color="auto"/>
      </w:divBdr>
      <w:divsChild>
        <w:div w:id="178081455">
          <w:marLeft w:val="0"/>
          <w:marRight w:val="0"/>
          <w:marTop w:val="0"/>
          <w:marBottom w:val="0"/>
          <w:divBdr>
            <w:top w:val="none" w:sz="0" w:space="0" w:color="auto"/>
            <w:left w:val="none" w:sz="0" w:space="0" w:color="auto"/>
            <w:bottom w:val="none" w:sz="0" w:space="0" w:color="auto"/>
            <w:right w:val="none" w:sz="0" w:space="0" w:color="auto"/>
          </w:divBdr>
        </w:div>
      </w:divsChild>
    </w:div>
    <w:div w:id="631057083">
      <w:bodyDiv w:val="1"/>
      <w:marLeft w:val="0"/>
      <w:marRight w:val="0"/>
      <w:marTop w:val="0"/>
      <w:marBottom w:val="0"/>
      <w:divBdr>
        <w:top w:val="none" w:sz="0" w:space="0" w:color="auto"/>
        <w:left w:val="none" w:sz="0" w:space="0" w:color="auto"/>
        <w:bottom w:val="none" w:sz="0" w:space="0" w:color="auto"/>
        <w:right w:val="none" w:sz="0" w:space="0" w:color="auto"/>
      </w:divBdr>
    </w:div>
    <w:div w:id="768934457">
      <w:bodyDiv w:val="1"/>
      <w:marLeft w:val="0"/>
      <w:marRight w:val="0"/>
      <w:marTop w:val="0"/>
      <w:marBottom w:val="0"/>
      <w:divBdr>
        <w:top w:val="none" w:sz="0" w:space="0" w:color="auto"/>
        <w:left w:val="none" w:sz="0" w:space="0" w:color="auto"/>
        <w:bottom w:val="none" w:sz="0" w:space="0" w:color="auto"/>
        <w:right w:val="none" w:sz="0" w:space="0" w:color="auto"/>
      </w:divBdr>
      <w:divsChild>
        <w:div w:id="1381785895">
          <w:marLeft w:val="0"/>
          <w:marRight w:val="0"/>
          <w:marTop w:val="0"/>
          <w:marBottom w:val="0"/>
          <w:divBdr>
            <w:top w:val="none" w:sz="0" w:space="0" w:color="auto"/>
            <w:left w:val="none" w:sz="0" w:space="0" w:color="auto"/>
            <w:bottom w:val="none" w:sz="0" w:space="0" w:color="auto"/>
            <w:right w:val="none" w:sz="0" w:space="0" w:color="auto"/>
          </w:divBdr>
        </w:div>
      </w:divsChild>
    </w:div>
    <w:div w:id="941303941">
      <w:bodyDiv w:val="1"/>
      <w:marLeft w:val="0"/>
      <w:marRight w:val="0"/>
      <w:marTop w:val="0"/>
      <w:marBottom w:val="0"/>
      <w:divBdr>
        <w:top w:val="none" w:sz="0" w:space="0" w:color="auto"/>
        <w:left w:val="none" w:sz="0" w:space="0" w:color="auto"/>
        <w:bottom w:val="none" w:sz="0" w:space="0" w:color="auto"/>
        <w:right w:val="none" w:sz="0" w:space="0" w:color="auto"/>
      </w:divBdr>
    </w:div>
    <w:div w:id="1101341304">
      <w:bodyDiv w:val="1"/>
      <w:marLeft w:val="0"/>
      <w:marRight w:val="0"/>
      <w:marTop w:val="0"/>
      <w:marBottom w:val="0"/>
      <w:divBdr>
        <w:top w:val="none" w:sz="0" w:space="0" w:color="auto"/>
        <w:left w:val="none" w:sz="0" w:space="0" w:color="auto"/>
        <w:bottom w:val="none" w:sz="0" w:space="0" w:color="auto"/>
        <w:right w:val="none" w:sz="0" w:space="0" w:color="auto"/>
      </w:divBdr>
    </w:div>
    <w:div w:id="1175148634">
      <w:bodyDiv w:val="1"/>
      <w:marLeft w:val="0"/>
      <w:marRight w:val="0"/>
      <w:marTop w:val="0"/>
      <w:marBottom w:val="0"/>
      <w:divBdr>
        <w:top w:val="none" w:sz="0" w:space="0" w:color="auto"/>
        <w:left w:val="none" w:sz="0" w:space="0" w:color="auto"/>
        <w:bottom w:val="none" w:sz="0" w:space="0" w:color="auto"/>
        <w:right w:val="none" w:sz="0" w:space="0" w:color="auto"/>
      </w:divBdr>
      <w:divsChild>
        <w:div w:id="1445923425">
          <w:marLeft w:val="0"/>
          <w:marRight w:val="0"/>
          <w:marTop w:val="0"/>
          <w:marBottom w:val="0"/>
          <w:divBdr>
            <w:top w:val="none" w:sz="0" w:space="0" w:color="auto"/>
            <w:left w:val="none" w:sz="0" w:space="0" w:color="auto"/>
            <w:bottom w:val="none" w:sz="0" w:space="0" w:color="auto"/>
            <w:right w:val="none" w:sz="0" w:space="0" w:color="auto"/>
          </w:divBdr>
        </w:div>
      </w:divsChild>
    </w:div>
    <w:div w:id="1302343710">
      <w:bodyDiv w:val="1"/>
      <w:marLeft w:val="0"/>
      <w:marRight w:val="0"/>
      <w:marTop w:val="0"/>
      <w:marBottom w:val="0"/>
      <w:divBdr>
        <w:top w:val="none" w:sz="0" w:space="0" w:color="auto"/>
        <w:left w:val="none" w:sz="0" w:space="0" w:color="auto"/>
        <w:bottom w:val="none" w:sz="0" w:space="0" w:color="auto"/>
        <w:right w:val="none" w:sz="0" w:space="0" w:color="auto"/>
      </w:divBdr>
      <w:divsChild>
        <w:div w:id="1884559494">
          <w:marLeft w:val="0"/>
          <w:marRight w:val="0"/>
          <w:marTop w:val="0"/>
          <w:marBottom w:val="0"/>
          <w:divBdr>
            <w:top w:val="none" w:sz="0" w:space="0" w:color="auto"/>
            <w:left w:val="none" w:sz="0" w:space="0" w:color="auto"/>
            <w:bottom w:val="none" w:sz="0" w:space="0" w:color="auto"/>
            <w:right w:val="none" w:sz="0" w:space="0" w:color="auto"/>
          </w:divBdr>
        </w:div>
      </w:divsChild>
    </w:div>
    <w:div w:id="1472094883">
      <w:bodyDiv w:val="1"/>
      <w:marLeft w:val="0"/>
      <w:marRight w:val="0"/>
      <w:marTop w:val="0"/>
      <w:marBottom w:val="0"/>
      <w:divBdr>
        <w:top w:val="none" w:sz="0" w:space="0" w:color="auto"/>
        <w:left w:val="none" w:sz="0" w:space="0" w:color="auto"/>
        <w:bottom w:val="none" w:sz="0" w:space="0" w:color="auto"/>
        <w:right w:val="none" w:sz="0" w:space="0" w:color="auto"/>
      </w:divBdr>
    </w:div>
    <w:div w:id="1507674022">
      <w:bodyDiv w:val="1"/>
      <w:marLeft w:val="0"/>
      <w:marRight w:val="0"/>
      <w:marTop w:val="0"/>
      <w:marBottom w:val="0"/>
      <w:divBdr>
        <w:top w:val="none" w:sz="0" w:space="0" w:color="auto"/>
        <w:left w:val="none" w:sz="0" w:space="0" w:color="auto"/>
        <w:bottom w:val="none" w:sz="0" w:space="0" w:color="auto"/>
        <w:right w:val="none" w:sz="0" w:space="0" w:color="auto"/>
      </w:divBdr>
      <w:divsChild>
        <w:div w:id="100609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2021-04-20T18:01:00Z</dcterms:created>
  <dcterms:modified xsi:type="dcterms:W3CDTF">2021-04-20T21:18:00Z</dcterms:modified>
</cp:coreProperties>
</file>